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center"/>
      </w:pPr>
      <w:r>
        <w:rPr>
          <w:rFonts w:ascii="Arial" w:hAnsi="Arial" w:eastAsia="Arial" w:cs="Arial"/>
          <w:b/>
          <w:color w:val="000000"/>
          <w:sz w:val="28"/>
        </w:rPr>
        <w:t>ПРАВИЛА ИСПОЛЬЗОВАНИЯ СЕРВИСА «АпТакси»</w:t>
      </w:r>
    </w:p>
    <w:p>
      <w:pPr>
        <w:jc w:val="left"/>
      </w:pPr>
      <w:r>
        <w:rPr>
          <w:b/>
        </w:rPr>
        <w:t>Редакция от 02.10.2026</w:t>
      </w:r>
      <w:r>
        <w:rPr>
          <w:b/>
        </w:rPr>
        <w:br/>
        <w:t>Вступает в силу с 03.10.2026</w:t>
      </w:r>
    </w:p>
    <w:p>
      <w:pPr>
        <w:spacing w:before="180" w:after="100"/>
      </w:pPr>
      <w:r>
        <w:rPr>
          <w:rFonts w:ascii="Arial" w:hAnsi="Arial" w:eastAsia="Arial" w:cs="Arial"/>
          <w:b/>
          <w:color w:val="000000"/>
          <w:sz w:val="22"/>
        </w:rPr>
        <w:t>1. ОБЩИЕ ПОЛОЖЕНИЯ</w:t>
      </w:r>
    </w:p>
    <w:p>
      <w:pPr>
        <w:spacing w:after="100"/>
      </w:pPr>
      <w:r>
        <w:rPr>
          <w:rFonts w:ascii="Arial" w:hAnsi="Arial" w:eastAsia="Arial" w:cs="Arial"/>
          <w:b/>
          <w:color w:val="000000"/>
          <w:sz w:val="22"/>
        </w:rPr>
        <w:t>1.1. Настоящие Правила регулируют порядок использования сервиса «АпТакси».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1.2. Пользователь обязан использовать Сервис исключительно по его назначению — для поиска, оформления и выполнения поездок.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1.3. Запрещается использовать Сервис в противоправных целях, создавать фиктивные заказы или иным способом злоупотреблять функционалом Сервиса.</w:t>
      </w:r>
    </w:p>
    <w:p>
      <w:pPr>
        <w:spacing w:before="180" w:after="100"/>
      </w:pPr>
      <w:r>
        <w:rPr>
          <w:rFonts w:ascii="Arial" w:hAnsi="Arial" w:eastAsia="Arial" w:cs="Arial"/>
          <w:b/>
          <w:color w:val="000000"/>
          <w:sz w:val="22"/>
        </w:rPr>
        <w:t>2. РЕГИСТРАЦИЯ И АККАУНТ</w:t>
      </w:r>
    </w:p>
    <w:p>
      <w:pPr>
        <w:spacing w:after="100"/>
      </w:pPr>
      <w:r>
        <w:rPr>
          <w:rFonts w:ascii="Arial" w:hAnsi="Arial" w:eastAsia="Arial" w:cs="Arial"/>
          <w:b/>
          <w:color w:val="000000"/>
          <w:sz w:val="22"/>
        </w:rPr>
        <w:t>2.1. Пользователь обязан указывать достоверные данные.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2.2. Пользователь обязан обеспечивать сохранность доступа к аккаунту и не передавать его третьим лицам.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2.3. Запрещается создавать фейковые аккаунты, использовать чужие данные или создавать несколько аккаунтов с целью обхода ограничений.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2.4. Аккаунт может быть удалён или ограничен в случаях, предусмотренных Офертой и настоящими Правилами.</w:t>
      </w:r>
    </w:p>
    <w:p>
      <w:pPr>
        <w:spacing w:before="180" w:after="100"/>
      </w:pPr>
      <w:r>
        <w:rPr>
          <w:rFonts w:ascii="Arial" w:hAnsi="Arial" w:eastAsia="Arial" w:cs="Arial"/>
          <w:b/>
          <w:color w:val="000000"/>
          <w:sz w:val="22"/>
        </w:rPr>
        <w:t>3. ОФОРМЛЕНИЕ ЗАКАЗА, АДРЕС И ПЕРЕРАСЧЁТ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3.1. Пользователь обязан указывать корректные адреса подачи и назначения. Если Пользователь указал неверный адрес подачи либо ему необходимо изменить адрес подачи, заказ подлежит отмене. Для поездки с новым адресом Пользователь оформляет новый заказ.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3.2. Изменение адреса назначения во время выполнения поездки допускается через предусмотренный интерфейс. Сервис выполняет перерасчёт расстояния, расчётного времени и стоимости поездки.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3.3. Стоимость поездки рассчитывается исходя из минимальной стоимости поездки и дополнительно начисляемой платы за фактически пройденное расстояние от места посадки Пассажира до конечной точки поездки в соответствии с действующим тарифом.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3.4. До применения изменения адреса назначения Пользователь видит новую стоимость, расстояние и расчётное время, если такие данные доступны, и может подтвердить изменение либо отменить его.</w:t>
      </w:r>
    </w:p>
    <w:p>
      <w:pPr/>
      <w:r>
        <w:rPr>
          <w:rFonts w:ascii="Arial" w:hAnsi="Arial" w:cs="Arial"/>
          <w:b w:val="0"/>
          <w:color w:val="000000"/>
        </w:rPr>
        <w:t>3.5. Если расчётная протяжённость поездки превышает установленный Сервисом порог применения тарифа «Межгород», к поездке применяется соответствующий тариф. Текущий порог, размер тарифа и последствия его применения отображаются Пользователю в предусмотренном Сервисом интерфейсе.</w:t>
      </w:r>
    </w:p>
    <w:p>
      <w:pPr/>
      <w:r>
        <w:t>3.6. При изменении конечной точки, приводящем к превышению установленного Сервисом порога применения тарифа «Межгород», стоимость поездки пересчитывается с учётом соответствующего тарифа и отображается Пассажиру до подтверждения изменения.</w:t>
      </w:r>
    </w:p>
    <w:p>
      <w:pPr>
        <w:spacing w:before="180" w:after="100"/>
      </w:pPr>
      <w:r>
        <w:rPr>
          <w:rFonts w:ascii="Arial" w:hAnsi="Arial" w:eastAsia="Arial" w:cs="Arial"/>
          <w:b/>
          <w:color w:val="000000"/>
          <w:sz w:val="22"/>
        </w:rPr>
        <w:t>4. ПРОМЕЖУТОЧНЫЕ ОСТАНОВКИ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4.1. Пользователь может добавить промежуточную остановку во время поездки через предусмотренную Сервисом функцию.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4.2. До применения изменения Пользователь видит обновлённый маршрут, расстояние, расчётное время и новую стоимость и вправе подтвердить или отменить изменение.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4.3. Во время промежуточной остановки по инициативе Пользователя плата за ожидание начисляется с момента начала остановки в соответствии с действующим тарифом. В приложении Пользователю отображаются время ожидания, начисленная плата за ожидание и актуальная расчётная стоимость поездки.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4.4. Пользователь вправе завершить промежуточную остановку в любой момент, после чего выполнение поездки продолжается.</w:t>
      </w:r>
    </w:p>
    <w:p>
      <w:pPr/>
      <w:r>
        <w:rPr>
          <w:rFonts w:ascii="Arial" w:hAnsi="Arial" w:cs="Arial"/>
          <w:b w:val="0"/>
          <w:color w:val="000000"/>
        </w:rPr>
        <w:t>4.5. Продолжительность одного периода ожидания на промежуточной остановке не может превышать 30 минут. По истечении указанного времени Сервис вправе завершить заказ в соответствии с правилами Сервиса.</w:t>
      </w:r>
    </w:p>
    <w:p>
      <w:r>
        <w:rPr>
          <w:rFonts w:ascii="Arial" w:hAnsi="Arial" w:cs="Arial"/>
          <w:color w:val="000000"/>
        </w:rPr>
        <w:t>4.6. Начало и окончание промежуточной остановки фиксируются Сервисом по событиям приложения и серверной фиксации. Временная потеря GPS-сигнала или интернет-соединения сама по себе не является основанием для начала или прекращения начисления платы за ожидание.</w:t>
      </w:r>
    </w:p>
    <w:p>
      <w:pPr>
        <w:spacing w:before="180" w:after="100"/>
      </w:pPr>
      <w:r>
        <w:rPr>
          <w:rFonts w:ascii="Arial" w:hAnsi="Arial" w:eastAsia="Arial" w:cs="Arial"/>
          <w:b/>
          <w:color w:val="000000"/>
          <w:sz w:val="22"/>
        </w:rPr>
        <w:t>5. ПЕРЕВОЗКА ЖИВОТНЫХ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5.1. Перевозка животных допускается при соблюдении законодательства Российской Федерации и настоящих Правил.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5.2. Пользователь обязан заранее указать в заказе перевозку животного, если соответствующая возможность предусмотрена приложением, а также уведомить Перевозчика о перевозке животного в чате заказа до начала поездки.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5.3. Собака перевозится в наморднике, на поводке и с подстилкой. Мелкие домашние животные и птицы перевозятся в контейнере с глухим дном (клетке, коробе или сумке), обеспечивающем доступ воздуха и возможность закрытия.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5.4. Животное не должно свободно перемещаться по салону, мешать управлению автомобилем или пользованию зеркалами, создавать угрозу безопасности, загрязнять или повреждать автомобиль.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5.5. Сервис вправе устанавливать дополнительные требования к перевозке животных и отдельные условия тарифа, если они доведены до Пользователя до подтверждения заказа и не противоречат законодательству Российской Федерации.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5.6. При нарушении требований к перевозке животного Перевозчик вправе отказаться от выполнения поездки либо потребовать устранить нарушение до начала перевозки. Финансовые последствия определяются с учётом обстоятельств заказа и действующих правил Сервиса.</w:t>
      </w:r>
    </w:p>
    <w:p>
      <w:pPr>
        <w:spacing w:before="180" w:after="100"/>
      </w:pPr>
      <w:r>
        <w:rPr>
          <w:rFonts w:ascii="Arial" w:hAnsi="Arial" w:eastAsia="Arial" w:cs="Arial"/>
          <w:b/>
          <w:color w:val="000000"/>
          <w:sz w:val="22"/>
        </w:rPr>
        <w:t>6. ПЕРЕВОЗКА ДЕТЕЙ</w:t>
      </w:r>
    </w:p>
    <w:p>
      <w:pPr>
        <w:spacing w:after="100"/>
      </w:pPr>
      <w:r>
        <w:t>6.1. Если для перевозки ребёнка требуется детское удерживающее устройство, Пользователь обязан указать это при оформлении заказа, выбрав предусмотренную Сервисом опцию «Нужно детское кресло».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6.2. Перевозка детей осуществляется с соблюдением Правил дорожного движения Российской Федерации.</w:t>
      </w:r>
    </w:p>
    <w:p>
      <w:pPr>
        <w:spacing w:after="100"/>
      </w:pPr>
      <w:r>
        <w:t>6.3. Если необходимое детское удерживающее устройство не было указано в заказе или отсутствует возможность обеспечить перевозку с соблюдением требований безопасности, Перевозчик вправе отказаться от начала перевозки.</w:t>
      </w:r>
    </w:p>
    <w:p>
      <w:r>
        <w:rPr>
          <w:rFonts w:ascii="Arial" w:hAnsi="Arial" w:eastAsia="Arial" w:cs="Arial"/>
          <w:b/>
          <w:color w:val="000000"/>
          <w:sz w:val="22"/>
        </w:rPr>
        <w:t>7. БАГАЖ И РУЧНАЯ КЛАДЬ</w:t>
      </w:r>
    </w:p>
    <w:p>
      <w:r>
        <w:rPr>
          <w:rFonts w:ascii="Arial" w:hAnsi="Arial" w:eastAsia="Arial" w:cs="Arial"/>
          <w:b w:val="0"/>
          <w:color w:val="000000"/>
          <w:sz w:val="22"/>
        </w:rPr>
        <w:t>7.1. Пользователь вправе перевозить багаж и ручную кладь при соблюдении законодательства Российской Федерации и настоящих Правил.</w:t>
      </w:r>
    </w:p>
    <w:p>
      <w:r>
        <w:rPr>
          <w:rFonts w:ascii="Arial" w:hAnsi="Arial" w:eastAsia="Arial" w:cs="Arial"/>
          <w:b w:val="0"/>
          <w:color w:val="000000"/>
          <w:sz w:val="22"/>
        </w:rPr>
        <w:t>7.2. Ручная кладь допускается, если она свободно проходит через дверные проёмы, не загрязняет и не повреждает салон, не ограничивает обзорность водителя и не препятствует управлению автомобилем. Конкретные ограничения по количеству, габаритам и способу размещения могут указываться в приложении.</w:t>
      </w:r>
    </w:p>
    <w:p>
      <w:r>
        <w:rPr>
          <w:rFonts w:ascii="Arial" w:hAnsi="Arial" w:eastAsia="Arial" w:cs="Arial"/>
          <w:b w:val="0"/>
          <w:color w:val="000000"/>
          <w:sz w:val="22"/>
        </w:rPr>
        <w:t>7.3. Багаж должен размещаться в багажном отделении легкового такси. Его габариты должны позволять разместить багаж с закрытой крышкой багажного отделения. Конкретные ограничения по количеству мест и габаритам могут указываться в приложении.</w:t>
      </w:r>
    </w:p>
    <w:p>
      <w:r>
        <w:rPr>
          <w:rFonts w:ascii="Arial" w:hAnsi="Arial" w:eastAsia="Arial" w:cs="Arial"/>
          <w:b w:val="0"/>
          <w:color w:val="000000"/>
          <w:sz w:val="22"/>
        </w:rPr>
        <w:t>7.4. По согласованию с Перевозчиком багаж, не помещающийся в багажном отделении, может быть размещён в салоне, если это не мешает управлению автомобилем, не ограничивает обзорность и не создаёт угрозы безопасности.</w:t>
      </w:r>
    </w:p>
    <w:p>
      <w:r>
        <w:rPr>
          <w:rFonts w:ascii="Arial" w:hAnsi="Arial" w:eastAsia="Arial" w:cs="Arial"/>
          <w:b w:val="0"/>
          <w:color w:val="000000"/>
          <w:sz w:val="22"/>
        </w:rPr>
        <w:t>7.5. Не допускаются к перевозке опасные, взрывоопасные, легковоспламеняющиеся, токсичные, радиоактивные и иные запрещённые законодательством предметы и вещества, а также вещи, загрязняющие или повреждающие автомобиль либо одежду пассажиров.</w:t>
      </w:r>
    </w:p>
    <w:p>
      <w:pPr>
        <w:spacing w:before="180" w:after="100"/>
      </w:pPr>
      <w:r>
        <w:rPr>
          <w:rFonts w:ascii="Arial" w:hAnsi="Arial" w:eastAsia="Arial" w:cs="Arial"/>
          <w:b/>
          <w:color w:val="000000"/>
          <w:sz w:val="22"/>
        </w:rPr>
        <w:t>8. ОЖИДАНИЕ И ОТМЕНА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8.1. После подачи автомобиля к месту подачи первые 3 минуты ожидания Пассажира не оплачиваются. По истечении указанного периода начисляется плата за ожидание в соответствии с действующим тарифом.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8.2. Если Пользователь вышел к автомобилю и поездка состоялась, плата за ожидание начисляется за фактическое время ожидания до начала поездки в соответствии с тарифом, показанным в приложении.</w:t>
      </w:r>
    </w:p>
    <w:p>
      <w:pPr>
        <w:spacing w:after="100"/>
      </w:pPr>
      <w:r>
        <w:rPr>
          <w:rFonts w:ascii="Arial" w:hAnsi="Arial" w:cs="Arial"/>
          <w:color w:val="000000"/>
        </w:rPr>
        <w:t>8.3. Если Пользователь не вышел к автомобилю в течение 15 минут с момента прибытия, Перевозчик вправе отменить заказ по причине «Пассажир не явился». Плата за ожидание начисляется за фактическое время ожидания в соответствии с действующим тарифом. Отдельная компенсация за расстояние подачи при неявке не начисляется.</w:t>
      </w:r>
    </w:p>
    <w:p>
      <w:pPr>
        <w:spacing w:after="100"/>
      </w:pPr>
      <w:r>
        <w:rPr>
          <w:rFonts w:ascii="Arial" w:hAnsi="Arial" w:cs="Arial"/>
          <w:color w:val="000000"/>
        </w:rPr>
        <w:t>8.4. Пользователь вправе отменить заказ без платы, если после принятия заказа Перевозчик не начал фактическое движение к месту подачи, независимо от времени, прошедшего с момента принятия заказа. Если Перевозчик начал фактическое движение к месту подачи, первые 4 минуты с момента принятия заказа являются бесплатным периодом отмены. При отмене позднее 4 минут может применяться плата с учётом фактически пройденного пути и действующего тарифа. Условия и сумма показываются Пользователю до подтверждения отмены.</w:t>
      </w:r>
    </w:p>
    <w:p>
      <w:pPr>
        <w:spacing w:before="180" w:after="100"/>
      </w:pPr>
      <w:r>
        <w:rPr>
          <w:rFonts w:ascii="Arial" w:hAnsi="Arial" w:eastAsia="Arial" w:cs="Arial"/>
          <w:b/>
          <w:color w:val="000000"/>
          <w:sz w:val="22"/>
        </w:rPr>
        <w:t>9. ПОВЕДЕНИЕ ПОЛЬЗОВАТЕЛЯ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9.1. Запрещается оскорблять или угрожать Перевозчику, повреждать автомобиль, перевозить запрещённые или опасные предметы, создавать угрозу безопасности либо совершать противоправные действия.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9.2. Перевозчик вправе отказаться от поездки до её начала или прекратить её, если действия Пользователя создают угрозу безопасности либо нарушают требования законодательства Российской Федерации.</w:t>
      </w:r>
    </w:p>
    <w:p>
      <w:pPr>
        <w:spacing w:before="180" w:after="100"/>
      </w:pPr>
      <w:r>
        <w:rPr>
          <w:rFonts w:ascii="Arial" w:hAnsi="Arial" w:eastAsia="Arial" w:cs="Arial"/>
          <w:b/>
          <w:color w:val="000000"/>
          <w:sz w:val="22"/>
        </w:rPr>
        <w:t>10. ОПЛАТА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10.1. Оплата может осуществляться наличными, банковской картой через подключённого платёжного партнёра либо иным способом, доступным в приложении.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10.2. Возвраты и перерасчёты осуществляются в зависимости от способа оплаты, обстоятельств заказа, правил платёжного партнёра и законодательства Российской Федерации.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10.3. Оператор не хранит полные реквизиты банковских карт Пользователей, если иное прямо не раскрыто Пользователю в Сервисе.</w:t>
      </w:r>
    </w:p>
    <w:p>
      <w:pPr>
        <w:spacing w:before="180" w:after="100"/>
      </w:pPr>
      <w:r>
        <w:rPr>
          <w:rFonts w:ascii="Arial" w:hAnsi="Arial" w:eastAsia="Arial" w:cs="Arial"/>
          <w:b/>
          <w:color w:val="000000"/>
          <w:sz w:val="22"/>
        </w:rPr>
        <w:t>11. ЗАБЫТЫЕ ВЕЩИ И УЩЕРБ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11.1. Пользователь самостоятельно несёт ответственность за сохранность своих вещей.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11.2. Оператор может содействовать в установлении контакта с Перевозчиком по вопросу забытых вещей.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11.3. При причинении ущерба автомобилю Пользователь обязан возместить причинённый ущерб Перевозчику в соответствии с законодательством Российской Федерации.</w:t>
      </w:r>
    </w:p>
    <w:p>
      <w:pPr>
        <w:spacing w:before="180" w:after="100"/>
      </w:pPr>
      <w:r>
        <w:rPr>
          <w:rFonts w:ascii="Arial" w:hAnsi="Arial" w:eastAsia="Arial" w:cs="Arial"/>
          <w:b/>
          <w:color w:val="000000"/>
          <w:sz w:val="22"/>
        </w:rPr>
        <w:t>12. РЕФЕРАЛЬНАЯ ПРОГРАММА</w:t>
      </w:r>
    </w:p>
    <w:p>
      <w:pPr>
        <w:spacing w:after="100"/>
      </w:pPr>
      <w:r>
        <w:rPr>
          <w:b w:val="0"/>
        </w:rPr>
        <w:t>12.1. Пользователь может приглашать в Сервис только других пассажиров. Вознаграждение начисляется за поездки приглашённых пассажиров в соответствии с условиями настоящего раздела.</w:t>
      </w:r>
    </w:p>
    <w:p>
      <w:pPr>
        <w:spacing w:after="100"/>
      </w:pPr>
      <w:r>
        <w:rPr>
          <w:b w:val="0"/>
        </w:rPr>
        <w:t>12.2. Размер реферального вознаграждения определяется действующими условиями реферальной программы и отображается Пользователю в Сервисе. Вознаграждение может рассчитываться по уровням реферальной программы в зависимости от действующих условий.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12.3. Вознаграждение начисляется после завершения поездки и подтверждения её оплаты и становится доступным после зачисления в реферальный баланс.</w:t>
      </w:r>
    </w:p>
    <w:p>
      <w:pPr/>
      <w:r>
        <w:t>12.4. Реферальный баланс может использоваться для полной или частичной оплаты поездок. Денежный вывод реферального баланса не производится.</w:t>
      </w:r>
    </w:p>
    <w:p>
      <w:pPr/>
      <w:r>
        <w:t>12.5. При возврате оплаты по поездке соответствующее реферальное начисление корректируется или аннулируется пропорционально возвращённой сумме.</w:t>
      </w:r>
    </w:p>
    <w:p>
      <w:pPr/>
      <w:r>
        <w:t>12.6. Запрещаются самореферал, фиктивные аккаунты, накрутка поездок, использование ботов и иные действия, направленные на получение необоснованного вознаграждения.</w:t>
      </w:r>
    </w:p>
    <w:p>
      <w:pPr>
        <w:spacing w:before="180" w:after="100"/>
      </w:pPr>
      <w:r>
        <w:rPr>
          <w:rFonts w:ascii="Arial" w:hAnsi="Arial" w:eastAsia="Arial" w:cs="Arial"/>
          <w:b/>
          <w:color w:val="000000"/>
          <w:sz w:val="22"/>
        </w:rPr>
        <w:t>13. ОГРАНИЧЕНИЯ И БЛОКИРОВКА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13.1. Оператор вправе ограничить доступ или заблокировать аккаунт при мошенничестве, угрозах, нарушении Правил, злоупотреблении реферальной программой, попытках взлома или иных нарушениях условий использования Сервиса.</w:t>
      </w:r>
    </w:p>
    <w:p>
      <w:pPr>
        <w:spacing w:before="180" w:after="100"/>
      </w:pPr>
      <w:r>
        <w:rPr>
          <w:rFonts w:ascii="Arial" w:hAnsi="Arial" w:eastAsia="Arial" w:cs="Arial"/>
          <w:b/>
          <w:color w:val="000000"/>
          <w:sz w:val="22"/>
        </w:rPr>
        <w:t>14. ТЕХНИЧЕСКИЕ РАБОТЫ И БЕЗОПАСНОСТЬ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14.1. Оператор вправе временно ограничивать доступ к Сервису для проведения технических работ, обновления программного обеспечения или устранения сбоев.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14.2. Пользователь обязан не передавать коды подтверждения и доступ к аккаунту третьим лицам.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14.3. Оператор не несёт ответственности за временную недоступность Сервиса по причинам, находящимся вне его контроля.</w:t>
      </w:r>
    </w:p>
    <w:p>
      <w:pPr>
        <w:spacing w:before="180" w:after="100"/>
      </w:pPr>
      <w:r>
        <w:rPr>
          <w:rFonts w:ascii="Arial" w:hAnsi="Arial" w:eastAsia="Arial" w:cs="Arial"/>
          <w:b/>
          <w:color w:val="000000"/>
          <w:sz w:val="22"/>
        </w:rPr>
        <w:t>15. РАЗРЕШЕНИЕ СПОРОВ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15.1. Пользователь может направить обращение или оспорить стоимость поездки, начисление платы или иное действие по конкретному заказу через поддержку Сервиса доступным в приложении способом.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15.2. При рассмотрении обращения могут запрашиваться сведения, относящиеся к заказу.</w:t>
      </w:r>
    </w:p>
    <w:p>
      <w:pPr>
        <w:spacing w:after="100"/>
      </w:pPr>
      <w:r>
        <w:rPr>
          <w:rFonts w:ascii="Arial" w:hAnsi="Arial" w:eastAsia="Arial" w:cs="Arial"/>
          <w:b w:val="0"/>
          <w:color w:val="000000"/>
          <w:sz w:val="22"/>
        </w:rPr>
        <w:t>15.3. При невозможности урегулировать вопрос в порядке обращения спор разрешается в соответствии с законодательством Российской Федерации.</w:t>
      </w:r>
    </w:p>
    <w:p>
      <w:pPr>
        <w:spacing w:before="180" w:after="100"/>
      </w:pPr>
      <w:r>
        <w:rPr>
          <w:rFonts w:ascii="Arial" w:hAnsi="Arial" w:eastAsia="Arial" w:cs="Arial"/>
          <w:b/>
          <w:color w:val="000000"/>
          <w:sz w:val="22"/>
        </w:rPr>
        <w:t>16. ИЗМЕНЕНИЕ ПРАВИЛ</w:t>
      </w:r>
    </w:p>
    <w:p>
      <w:pPr>
        <w:spacing w:after="100"/>
      </w:pPr>
      <w:r>
        <w:t>16.1. Оператор вправе изменять настоящие Правила в соответствии с законодательством Российской Федерации. Новая редакция размещается в Сервисе с указанием даты её утверждения и даты вступления в силу.</w:t>
        <w:br/>
        <w:t>16.2. Об изменениях, которые существенно затрагивают права и обязанности Пользователя, Оператор уведомляет Пользователя доступным способом, в том числе посредством уведомления в приложении, Личном кабинете или по электронной почте.</w:t>
        <w:br/>
        <w:t>16.3. Если для применения новой редакции требуется отдельное принятие Пользователем, новая редакция предоставляется Пользователю для ознакомления до продолжения использования соответствующего функционала Сервиса.</w:t>
      </w:r>
    </w:p>
    <w:p>
      <w:pPr>
        <w:spacing w:after="100"/>
      </w:pPr>
      <w:r>
        <w:t>16.4. Использование Сервиса после вступления новой редакции в силу осуществляется в соответствии с действующей редакцией Правил, если для её применения не требуется отдельное принятие Пользователем.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0" w:right="1100" w:bottom="900" w:left="11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  <w:sz w:val="21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 w:eastAsia="Arial" w:cs="Arial"/>
      <w:sz w:val="21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  <w:sz w:val="21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 w:eastAsia="Arial" w:cs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365F91" w:themeColor="accent1" w:themeShade="BF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 w:cs="Arial"/>
      <w:b/>
      <w:bCs/>
      <w:color w:val="4F81BD" w:themeColor="accent1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 w:eastAsia="Arial" w:cs="Arial"/>
      <w:b/>
      <w:bCs/>
      <w:i/>
      <w:iCs/>
      <w:color w:val="4F81BD" w:themeColor="accent1"/>
      <w:sz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 w:eastAsia="Arial" w:cs="Arial"/>
      <w:color w:val="243F60" w:themeColor="accent1" w:themeShade="7F"/>
      <w:sz w:val="2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 w:eastAsia="Arial" w:cs="Arial"/>
      <w:i/>
      <w:iCs/>
      <w:color w:val="243F60" w:themeColor="accent1" w:themeShade="7F"/>
      <w:sz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 w:eastAsia="Arial" w:cs="Arial"/>
      <w:i/>
      <w:iCs/>
      <w:color w:val="404040" w:themeColor="text1" w:themeTint="BF"/>
      <w:sz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 w:eastAsia="Arial" w:cs="Arial"/>
      <w:color w:val="4F81BD" w:themeColor="accent1"/>
      <w:sz w:val="2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 w:eastAsia="Arial" w:cs="Arial"/>
      <w:i/>
      <w:iCs/>
      <w:color w:val="404040" w:themeColor="text1" w:themeTint="BF"/>
      <w:sz w:val="21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 w:eastAsia="Arial" w:cs="Arial"/>
      <w:sz w:val="21"/>
    </w:rPr>
  </w:style>
  <w:style w:type="table" w:default="1" w:styleId="TableNormal">
    <w:name w:val="Normal Table"/>
    <w:uiPriority w:val="99"/>
    <w:semiHidden/>
    <w:unhideWhenUsed/>
    <w:rPr>
      <w:rFonts w:ascii="Arial" w:hAnsi="Arial" w:eastAsia="Arial" w:cs="Arial"/>
      <w:sz w:val="2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 w:eastAsia="Arial" w:cs="Arial"/>
      <w:sz w:val="21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 w:eastAsia="Arial" w:cs="Arial"/>
      <w:b/>
      <w:bCs/>
      <w:color w:val="365F91" w:themeColor="accent1" w:themeShade="BF"/>
      <w:sz w:val="21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 w:eastAsia="Arial" w:cs="Arial"/>
      <w:b/>
      <w:bCs/>
      <w:color w:val="4F81BD" w:themeColor="accent1"/>
      <w:sz w:val="21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 w:eastAsia="Arial" w:cs="Arial"/>
      <w:b/>
      <w:bCs/>
      <w:color w:val="4F81BD" w:themeColor="accent1"/>
      <w:sz w:val="2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 w:cs="Arial"/>
      <w:color w:val="17365D" w:themeColor="text2" w:themeShade="BF"/>
      <w:spacing w:val="5"/>
      <w:kern w:val="28"/>
      <w:sz w:val="21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 w:eastAsia="Arial" w:cs="Arial"/>
      <w:color w:val="17365D" w:themeColor="text2" w:themeShade="BF"/>
      <w:spacing w:val="5"/>
      <w:kern w:val="28"/>
      <w:sz w:val="21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 w:eastAsia="Arial" w:cs="Arial"/>
      <w:i/>
      <w:iCs/>
      <w:color w:val="4F81BD" w:themeColor="accent1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 w:eastAsia="Arial" w:cs="Arial"/>
      <w:i/>
      <w:iCs/>
      <w:color w:val="4F81BD" w:themeColor="accent1"/>
      <w:spacing w:val="15"/>
      <w:sz w:val="21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 w:eastAsia="Arial" w:cs="Arial"/>
      <w:sz w:val="21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 w:eastAsia="Arial" w:cs="Arial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 w:eastAsia="Arial" w:cs="Arial"/>
      <w:sz w:val="21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 w:eastAsia="Arial" w:cs="Arial"/>
      <w:sz w:val="21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 w:eastAsia="Arial" w:cs="Arial"/>
      <w:sz w:val="21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 w:eastAsia="Arial" w:cs="Arial"/>
      <w:sz w:val="21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 w:eastAsia="Arial" w:cs="Arial"/>
      <w:sz w:val="21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 w:eastAsia="Arial" w:cs="Arial"/>
      <w:sz w:val="21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 w:eastAsia="Arial" w:cs="Arial"/>
      <w:sz w:val="21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 w:eastAsia="Arial" w:cs="Arial"/>
      <w:sz w:val="21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 w:cs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 w:eastAsia="Arial" w:cs="Arial"/>
      <w:sz w:val="21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 w:eastAsia="Arial" w:cs="Arial"/>
      <w:sz w:val="21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eastAsia="Arial" w:cs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 w:eastAsia="Arial" w:cs="Arial"/>
      <w:sz w:val="21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 w:eastAsia="Arial" w:cs="Arial"/>
      <w:sz w:val="21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 w:eastAsia="Arial" w:cs="Arial"/>
      <w:sz w:val="21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 w:eastAsia="Arial" w:cs="Arial"/>
      <w:sz w:val="21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 w:eastAsia="Arial" w:cs="Arial"/>
      <w:sz w:val="21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1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1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 w:eastAsia="Arial" w:cs="Arial"/>
      <w:i/>
      <w:iCs/>
      <w:color w:val="000000" w:themeColor="text1"/>
      <w:sz w:val="2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 w:eastAsia="Arial" w:cs="Arial"/>
      <w:i/>
      <w:iCs/>
      <w:color w:val="000000" w:themeColor="text1"/>
      <w:sz w:val="2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 w:eastAsia="Arial" w:cs="Arial"/>
      <w:b/>
      <w:bCs/>
      <w:i/>
      <w:iCs/>
      <w:color w:val="4F81BD" w:themeColor="accent1"/>
      <w:sz w:val="2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 w:eastAsia="Arial" w:cs="Arial"/>
      <w:color w:val="243F60" w:themeColor="accent1" w:themeShade="7F"/>
      <w:sz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 w:eastAsia="Arial" w:cs="Arial"/>
      <w:i/>
      <w:iCs/>
      <w:color w:val="243F60" w:themeColor="accent1" w:themeShade="7F"/>
      <w:sz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 w:eastAsia="Arial" w:cs="Arial"/>
      <w:i/>
      <w:iCs/>
      <w:color w:val="404040" w:themeColor="text1" w:themeTint="BF"/>
      <w:sz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 w:eastAsia="Arial" w:cs="Arial"/>
      <w:color w:val="4F81BD" w:themeColor="accent1"/>
      <w:sz w:val="21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 w:eastAsia="Arial" w:cs="Arial"/>
      <w:i/>
      <w:iCs/>
      <w:color w:val="404040" w:themeColor="text1" w:themeTint="BF"/>
      <w:sz w:val="21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eastAsia="Arial" w:cs="Arial"/>
      <w:b/>
      <w:bCs/>
      <w:color w:val="4F81BD" w:themeColor="accent1"/>
      <w:sz w:val="2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 w:eastAsia="Arial" w:cs="Arial"/>
      <w:b/>
      <w:bCs/>
      <w:sz w:val="21"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 w:eastAsia="Arial" w:cs="Arial"/>
      <w:i/>
      <w:iCs/>
      <w:sz w:val="2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 w:eastAsia="Arial" w:cs="Arial"/>
      <w:b/>
      <w:bCs/>
      <w:i/>
      <w:iCs/>
      <w:color w:val="4F81BD" w:themeColor="accent1"/>
      <w:sz w:val="2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 w:eastAsia="Arial" w:cs="Arial"/>
      <w:b/>
      <w:bCs/>
      <w:i/>
      <w:iCs/>
      <w:color w:val="4F81BD" w:themeColor="accent1"/>
      <w:sz w:val="2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 w:eastAsia="Arial" w:cs="Arial"/>
      <w:i/>
      <w:iCs/>
      <w:color w:val="808080" w:themeColor="text1" w:themeTint="7F"/>
      <w:sz w:val="21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 w:eastAsia="Arial" w:cs="Arial"/>
      <w:b/>
      <w:bCs/>
      <w:i/>
      <w:iCs/>
      <w:color w:val="4F81BD" w:themeColor="accent1"/>
      <w:sz w:val="2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 w:eastAsia="Arial" w:cs="Arial"/>
      <w:smallCaps/>
      <w:color w:val="C0504D" w:themeColor="accent2"/>
      <w:sz w:val="21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 w:eastAsia="Arial" w:cs="Arial"/>
      <w:b/>
      <w:bCs/>
      <w:smallCaps/>
      <w:color w:val="C0504D" w:themeColor="accent2"/>
      <w:spacing w:val="5"/>
      <w:sz w:val="21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 w:eastAsia="Arial" w:cs="Arial"/>
      <w:b/>
      <w:bCs/>
      <w:smallCaps/>
      <w:spacing w:val="5"/>
      <w:sz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 w:eastAsia="Arial" w:cs="Arial"/>
      <w:sz w:val="21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 w:eastAsia="Arial" w:cs="Arial"/>
      <w:sz w:val="2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000000" w:themeColor="text1" w:themeShade="BF"/>
      <w:sz w:val="2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365F91" w:themeColor="accent1" w:themeShade="BF"/>
      <w:sz w:val="2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943634" w:themeColor="accent2" w:themeShade="BF"/>
      <w:sz w:val="2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76923C" w:themeColor="accent3" w:themeShade="BF"/>
      <w:sz w:val="2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5F497A" w:themeColor="accent4" w:themeShade="BF"/>
      <w:sz w:val="2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31849B" w:themeColor="accent5" w:themeShade="BF"/>
      <w:sz w:val="2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E36C0A" w:themeColor="accent6" w:themeShade="BF"/>
      <w:sz w:val="2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  <w:sz w:val="21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  <w:sz w:val="2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  <w:sz w:val="2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  <w:sz w:val="2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  <w:sz w:val="2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  <w:sz w:val="2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  <w:sz w:val="2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  <w:sz w:val="2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  <w:sz w:val="2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