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 w:eastAsia="Arial" w:cs="Arial"/>
          <w:b/>
          <w:color w:val="000000"/>
          <w:sz w:val="28"/>
        </w:rPr>
        <w:t>ПУБЛИЧНАЯ ОФЕРТА</w:t>
      </w:r>
    </w:p>
    <w:p>
      <w:pPr>
        <w:spacing w:after="200"/>
        <w:jc w:val="center"/>
      </w:pPr>
      <w:r>
        <w:rPr>
          <w:rFonts w:ascii="Arial" w:hAnsi="Arial" w:eastAsia="Arial" w:cs="Arial"/>
          <w:b w:val="0"/>
          <w:color w:val="000000"/>
          <w:sz w:val="22"/>
        </w:rPr>
        <w:t>на использование сервиса «АпТакси» пассажирами</w:t>
      </w:r>
    </w:p>
    <w:p>
      <w:pPr>
        <w:jc w:val="left"/>
      </w:pPr>
      <w:r>
        <w:rPr>
          <w:b/>
        </w:rPr>
        <w:t>Редакция от 02.10.2026</w:t>
      </w:r>
      <w:r>
        <w:rPr>
          <w:b/>
        </w:rPr>
        <w:br/>
        <w:t>Вступает в силу с 03.10.2026</w:t>
      </w:r>
    </w:p>
    <w:p>
      <w:pPr>
        <w:spacing w:after="160"/>
      </w:pPr>
      <w:r>
        <w:rPr>
          <w:rFonts w:ascii="Arial" w:hAnsi="Arial" w:eastAsia="Arial" w:cs="Arial"/>
          <w:b w:val="0"/>
          <w:color w:val="000000"/>
          <w:sz w:val="22"/>
        </w:rPr>
        <w:t>Индивидуальный предприниматель Мартынов Андрей Сергеевич, ИНН 636924101832, ОГРНИП 325632700078358, адрес регистрации: 446960, Самарская обл., ст. Клявлино, пер. Энергетиков, дом 6, кв. 4, действующий под брендом «АпТакси» (далее — «Оператор»), предлагает любому дееспособному физическому лицу, достигшему 18 лет (далее — «Пользователь»), заключить настоящий договор на следующих условиях.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1. ПРЕДМЕТ ДОГОВОРА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1.1. Сервис «АпТакси» является информационной платформой для поиска перевозчиков и оформления поездок.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1.2. Оператор предоставляет Пользователю доступ к мобильному приложению и информационным системам Сервиса.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1.3. Оператор не оказывает услуги перевозки пассажиров. Услугу перевозки оказывает Перевозчик.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1.4. Оператор не является работодателем Перевозчика и не заключает с ним трудовой договор. Взаимоотношения Оператора и Перевозчика регулируются отдельным договором службы заказа легкового такси с перевозчиком в соответствии с законодательством Российской Федерации.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1.5. Перевозчик, принимающий заказ через Сервис, действует самостоятельно на основании своего правового статуса и права осуществлять перевозки.</w:t>
      </w:r>
    </w:p>
    <w:p>
      <w:pPr>
        <w:spacing w:after="100"/>
      </w:pPr>
      <w:r>
        <w:rPr>
          <w:b w:val="0"/>
        </w:rPr>
        <w:t>1.6. Договор перевозки заключается непосредственно между Пользователем и Перевозчиком посредством оформления Пользователем заказа на поездку в Сервисе и принятия данного заказа Перевозчиком. С момента принятия заказа Перевозчиком договор перевозки считается заключённым на условиях заказа, включая выбранный тариф, место подачи, конечную точку поездки и иные условия, отображённые в Сервисе, с учётом изменений, согласованных сторонами в процессе поездки и предусмотренных настоящей Офертой.</w:t>
      </w:r>
    </w:p>
    <w:p>
      <w:r>
        <w:rPr>
          <w:b w:val="0"/>
        </w:rPr>
        <w:t>1.7. Оператор не является стороной договора перевозки, не осуществляет перевозку пассажиров и не определяет условия перевозки, за исключением условий функционирования Сервиса и порядка его использования.</w:t>
      </w:r>
    </w:p>
    <w:p>
      <w:r>
        <w:t>1.8. До передачи заказа Сервис осуществляет предусмотренные законодательством проверки сведений о Перевозчике и транспортном средстве, включая ежедневную проверку сведений о разрешениях и сведений о транспортном средстве в соответствующих региональных реестрах. При наличии предусмотренного законодательством доступа к государственным и региональным информационным системам проверки выполняются в автоматизированном режиме. При выявлении оснований, препятствующих передаче заказа, такой заказ не передаётся соответствующему Перевозчику или Водителю.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2. АКЦЕПТ ОФЕРТЫ И РЕГИСТРАЦИЯ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2.1. Акцепт настоящей Оферты осуществляется Пользователем в предусмотренном интерфейсом приложения порядке после предоставления возможности ознакомиться с текстом Оферты.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2.2. Установка приложения, регистрация или просмотр документов сами по себе не заменяют предусмотренный интерфейсом акцепт Оферты.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2.3. Для регистрации Пользователь указывает имя и номер мобильного телефона.</w:t>
      </w:r>
    </w:p>
    <w:p>
      <w:pPr>
        <w:spacing w:after="100"/>
      </w:pPr>
      <w:r>
        <w:t>2.4. Номер телефона подтверждается посредством SMS-верификации.</w:t>
      </w:r>
    </w:p>
    <w:p>
      <w:pPr>
        <w:spacing w:after="100"/>
      </w:pPr>
      <w:r>
        <w:rPr>
          <w:rFonts w:ascii="Arial" w:hAnsi="Arial" w:eastAsia="Arial" w:cs="Arial"/>
          <w:b/>
          <w:color w:val="000000"/>
          <w:sz w:val="22"/>
        </w:rPr>
        <w:t>2.5. Пользователь обязан указывать достоверные данные.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2.6. Согласие на обработку персональных данных оформляется отдельно от акцепта Оферты в соответствии с отдельным документом «Согласие на обработку персональных данных».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2.7. Оператор зарегистрирован в реестре операторов персональных данных Роскомнадзора, регистрационный номер № 10613/63 от 01.07.2026.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2.8. Пользователь несёт ответственность за сохранность доступа к своему аккаунту.</w:t>
      </w:r>
    </w:p>
    <w:p>
      <w:pPr>
        <w:spacing w:before="180" w:after="100"/>
      </w:pPr>
      <w:r>
        <w:rPr>
          <w:rFonts w:ascii="Arial" w:hAnsi="Arial" w:cs="Arial"/>
          <w:b/>
          <w:color w:val="000000"/>
        </w:rPr>
        <w:t>3. ОФОРМЛЕНИЕ ЗАКАЗА, АДРЕС И МАРШРУТ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3.1. Пользователь оформляет заказ через приложение. Информация о заказе передаётся доступным Перевозчикам.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3.2. Перевозчик самостоятельно принимает решение о принятии или отклонении заказа. Оператор не гарантирует назначение Перевозчика.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3.3. Пользователь обязан указывать корректные адреса подачи и назначения.</w:t>
      </w:r>
    </w:p>
    <w:p>
      <w:pPr>
        <w:spacing w:after="100"/>
      </w:pPr>
      <w:r>
        <w:rPr>
          <w:rFonts w:ascii="Arial" w:hAnsi="Arial" w:cs="Arial"/>
          <w:color w:val="000000"/>
        </w:rPr>
        <w:t>3.4. Если Пользователь указал неверный адрес подачи либо ему необходимо изменить адрес подачи, заказ подлежит отмене. Для поездки с новым адресом Пользователь оформляет новый заказ.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3.5. Изменение адреса назначения во время выполнения поездки допускается через предусмотренный интерфейс. Сервис выполняет перерасчёт расстояния, расчётного времени и стоимости поездки в соответствии с действующими тарифами.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3.6. Стоимость поездки рассчитывается исходя из минимальной стоимости поездки и дополнительно начисляемой платы за фактически пройденное расстояние от места посадки Пассажира до конечной точки поездки в соответствии с действующим тарифом.</w:t>
      </w:r>
    </w:p>
    <w:p>
      <w:pPr>
        <w:spacing w:after="100"/>
      </w:pPr>
      <w:r>
        <w:t>3.7. До применения изменения адреса назначения Пользователю показываются новая стоимость, изменение расстояния и расчётного времени поездки. Пользователь вправе подтвердить изменение либо отменить его.</w:t>
      </w:r>
    </w:p>
    <w:p>
      <w:pPr/>
      <w:r>
        <w:rPr>
          <w:rFonts w:ascii="Arial" w:hAnsi="Arial" w:cs="Arial"/>
          <w:b w:val="0"/>
          <w:color w:val="000000"/>
        </w:rPr>
        <w:t>3.8. Если расчётная протяжённость поездки превышает установленный Сервисом порог применения тарифа «Межгород», к поездке применяется соответствующий тариф. Текущий порог, размер тарифа и последствия его применения отображаются Пользователю в предусмотренном Сервисом интерфейсе.</w:t>
      </w:r>
    </w:p>
    <w:p>
      <w:pPr>
        <w:spacing w:after="100"/>
      </w:pPr>
      <w:r>
        <w:rPr>
          <w:rFonts w:ascii="Arial" w:hAnsi="Arial" w:cs="Arial"/>
          <w:color w:val="000000"/>
        </w:rPr>
        <w:t>3.9. Если Пользователь отменяет изменение адреса назначения до его подтверждения, первоначальные условия сохраняются, если заказ может быть продолжен.</w:t>
      </w:r>
    </w:p>
    <w:p>
      <w:pPr>
        <w:spacing w:after="100"/>
      </w:pPr>
      <w:r>
        <w:rPr>
          <w:rFonts w:ascii="Arial" w:hAnsi="Arial" w:cs="Arial"/>
          <w:color w:val="000000"/>
        </w:rPr>
        <w:t>3.10. Если после начала движения Перевозчика к первоначальной точке Пользователь отменяет заказ, плата определяется с учётом фактически пройденного Перевозчиком пути и действующих правил отмены.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4. ПРОМЕЖУТОЧНЫЕ ОСТАНОВКИ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4.1. Пользователь может добавить промежуточную остановку во время поездки через предусмотренную Сервисом функцию.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4.2. До применения изменения Сервис показывает Пользователю обновлённый маршрут, расстояние, расчётное время и новую стоимость поездки.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4.3. Во время промежуточной остановки по инициативе Пользователя плата за ожидание начисляется с момента начала остановки в соответствии с действующим тарифом. В приложении Пользователю отображаются время ожидания, начисленная плата за ожидание и актуальная расчётная стоимость поездки.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4.4. Пользователь вправе завершить промежуточную остановку в любой момент, после чего выполнение поездки продолжается.</w:t>
      </w:r>
    </w:p>
    <w:p>
      <w:pPr/>
      <w:r>
        <w:rPr>
          <w:rFonts w:ascii="Arial" w:hAnsi="Arial" w:cs="Arial"/>
          <w:b w:val="0"/>
          <w:color w:val="000000"/>
        </w:rPr>
        <w:t>4.5. Продолжительность одного периода ожидания на промежуточной остановке не может превышать 30 минут. По истечении указанного времени Сервис вправе завершить заказ в соответствии с правилами Сервиса.</w:t>
      </w:r>
    </w:p>
    <w:p>
      <w:r>
        <w:rPr>
          <w:rFonts w:ascii="Arial" w:hAnsi="Arial" w:cs="Arial"/>
          <w:color w:val="000000"/>
        </w:rPr>
        <w:t>4.6. Начало и окончание промежуточной остановки фиксируются Сервисом по событиям приложения и серверной фиксации. Временная потеря GPS-сигнала или интернет-соединения сама по себе не является основанием для начала или прекращения начисления платы за ожидание.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5. ПЕРЕВОЗКА ЖИВОТНЫХ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5.1. Перевозка животных допускается при соблюдении законодательства Российской Федерации и настоящих Правил.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5.2. Пользователь обязан заранее указать в заказе, что поездка будет осуществляться с животным, если соответствующая возможность предусмотрена приложением, а также уведомить Перевозчика о перевозке животного в чате заказа до начала поездки.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5.3. Собака перевозится в наморднике, на поводке и с подстилкой. Мелкие домашние животные и птицы перевозятся в контейнере с глухим дном (клетке, коробе или сумке), обеспечивающем доступ воздуха и возможность закрытия.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5.4. Животное не должно свободно перемещаться по салону, мешать управлению автомобилем или пользованию зеркалами, создавать угрозу безопасности, загрязнять или повреждать автомобиль.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5.5. Сервис вправе устанавливать дополнительные требования к перевозке животных, включая отдельные условия тарифа, если они доведены до Пользователя до подтверждения заказа и не противоречат законодательству Российской Федерации.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5.6. Если Пользователь не указал перевозку животного либо животное перевозится с нарушением установленных требований, Перевозчик вправе отказаться от поездки или потребовать устранить нарушение до начала перевозки. Финансовые последствия определяются с учётом обстоятельств заказа и действующих правил Сервиса.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6. ПЕРЕВОЗКА ДЕТЕЙ</w:t>
      </w:r>
    </w:p>
    <w:p>
      <w:pPr>
        <w:spacing w:after="100"/>
      </w:pPr>
      <w:r>
        <w:t>6.1. Если для перевозки ребёнка требуется детское удерживающее устройство, Пользователь обязан указать это при оформлении заказа, выбрав предусмотренную Сервисом опцию «Нужно детское кресло».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6.2. Перевозка детей осуществляется с соблюдением Правил дорожного движения Российской Федерации.</w:t>
      </w:r>
    </w:p>
    <w:p>
      <w:pPr>
        <w:spacing w:after="100"/>
      </w:pPr>
      <w:r>
        <w:t>6.3. Если необходимое детское удерживающее устройство не было указано в заказе или отсутствует возможность обеспечить перевозку с соблюдением требований безопасности, Перевозчик вправе отказаться от начала перевозки.</w:t>
      </w:r>
    </w:p>
    <w:p>
      <w:r>
        <w:rPr>
          <w:rFonts w:ascii="Arial" w:hAnsi="Arial" w:eastAsia="Arial" w:cs="Arial"/>
          <w:b/>
          <w:color w:val="000000"/>
          <w:sz w:val="22"/>
        </w:rPr>
        <w:t>7. БАГАЖ И РУЧНАЯ КЛАДЬ</w:t>
      </w:r>
    </w:p>
    <w:p>
      <w:r>
        <w:rPr>
          <w:rFonts w:ascii="Arial" w:hAnsi="Arial" w:eastAsia="Arial" w:cs="Arial"/>
          <w:b w:val="0"/>
          <w:color w:val="000000"/>
          <w:sz w:val="22"/>
        </w:rPr>
        <w:t>7.1. Пользователь вправе перевозить багаж и ручную кладь при соблюдении требований законодательства Российской Федерации, настоящей Оферты и действующих правил Сервиса.</w:t>
      </w:r>
    </w:p>
    <w:p>
      <w:r>
        <w:rPr>
          <w:rFonts w:ascii="Arial" w:hAnsi="Arial" w:eastAsia="Arial" w:cs="Arial"/>
          <w:b w:val="0"/>
          <w:color w:val="000000"/>
          <w:sz w:val="22"/>
        </w:rPr>
        <w:t>7.2. Ручная кладь допускается при условии, что она свободно проходит через дверные проёмы, не загрязняет и не повреждает салон, не ограничивает обзорность водителя и не препятствует управлению автомобилем. Сервис вправе устанавливать ограничения по количеству, габаритам и способу размещения ручной клади; такие ограничения доводятся до Пользователя в Сервисе.</w:t>
      </w:r>
    </w:p>
    <w:p>
      <w:r>
        <w:rPr>
          <w:rFonts w:ascii="Arial" w:hAnsi="Arial" w:eastAsia="Arial" w:cs="Arial"/>
          <w:b w:val="0"/>
          <w:color w:val="000000"/>
          <w:sz w:val="22"/>
        </w:rPr>
        <w:t>7.3. Багаж должен размещаться в багажном отделении легкового такси. Его габариты должны позволять разместить багаж с закрытой крышкой багажного отделения. Сервис вправе устанавливать ограничения по количеству мест и габаритам багажа и доводить их до Пользователя до подтверждения заказа.</w:t>
      </w:r>
    </w:p>
    <w:p>
      <w:r>
        <w:rPr>
          <w:rFonts w:ascii="Arial" w:hAnsi="Arial" w:eastAsia="Arial" w:cs="Arial"/>
          <w:b w:val="0"/>
          <w:color w:val="000000"/>
          <w:sz w:val="22"/>
        </w:rPr>
        <w:t>7.4. По согласованию с Перевозчиком допускается размещение багажа, не помещающегося в багажном отделении, в салоне автомобиля, если это не препятствует управлению, не ограничивает обзорность и не создаёт угрозы безопасности. Перевозчик вправе отказаться от размещения такого багажа, если безопасная перевозка невозможна.</w:t>
      </w:r>
    </w:p>
    <w:p>
      <w:r>
        <w:rPr>
          <w:rFonts w:ascii="Arial" w:hAnsi="Arial" w:eastAsia="Arial" w:cs="Arial"/>
          <w:b w:val="0"/>
          <w:color w:val="000000"/>
          <w:sz w:val="22"/>
        </w:rPr>
        <w:t>7.5. Не допускаются к перевозке опасные, взрывоопасные, легковоспламеняющиеся, токсичные, радиоактивные и иные запрещённые законодательством предметы и вещества, а также вещи, загрязняющие или повреждающие автомобиль либо одежду пассажиров.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8. СТОИМОСТЬ, ОЖИДАНИЕ И ОТМЕНА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8.1. Стоимость поездки отображается Пользователю до подтверждения заказа в соответствии с действующими тарифами.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8.2. Стоимость может изменяться в случаях, предусмотренных Сервисом, в том числе при изменении маршрута, адреса, добавлении остановки и применении платного ожидания.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8.3. После подачи автомобиля к месту подачи первые 3 минуты ожидания Пассажира не оплачиваются. По истечении указанного периода начисляется плата за ожидание в соответствии с действующим тарифом. В случае неявки Пассажира и отмены заказа по соответствующему основанию начисляется плата за фактическое время ожидания в соответствии с действующим тарифом.</w:t>
      </w:r>
    </w:p>
    <w:p>
      <w:pPr>
        <w:spacing w:after="100"/>
      </w:pPr>
      <w:r>
        <w:rPr>
          <w:b w:val="0"/>
        </w:rPr>
        <w:t>8.4. Пользователь вправе отменить заказ без платы, если после принятия заказа Перевозчик не начал фактическое движение к месту подачи, независимо от времени, прошедшего с момента принятия заказа. Если Перевозчик начал фактическое движение к месту подачи, первые 4 минуты с момента принятия заказа являются бесплатным периодом отмены. При отмене позднее 4 минут может взиматься плата с учётом фактически пройденного пути и действующего тарифа. До подтверждения отмены Пользователю показывается сумма либо порядок её расчёта.</w:t>
      </w:r>
    </w:p>
    <w:p>
      <w:pPr>
        <w:spacing w:after="100"/>
      </w:pPr>
      <w:r>
        <w:rPr>
          <w:rFonts w:ascii="Arial" w:hAnsi="Arial" w:cs="Arial"/>
          <w:color w:val="000000"/>
        </w:rPr>
        <w:t>8.6. При неявке Пользователя в течение 15 минут с момента прибытия автомобиля Перевозчик вправе отменить заказ по причине «Пассажир не явился». Плата за ожидание начисляется за фактическое время ожидания в соответствии с действующим тарифом. Отдельная компенсация за расстояние подачи при неявке не начисляется.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9. ОПЛАТА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9.1. Оплата может производиться наличными Перевозчику, банковской картой через подключённого платёжного партнёра либо иным способом, доступным в приложении.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9.2. При оплате банковской картой обработка платёжных данных осуществляется подключённым платёжным партнёром в соответствии с его правилами и требованиями безопасности.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9.3. Оператор не хранит полные реквизиты банковских карт Пользователей, если иное прямо не раскрыто Пользователю в Сервисе.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9.4. Возвраты и перерасчёты осуществляются в зависимости от способа оплаты, обстоятельств заказа, правил платёжного партнёра и законодательства Российской Федерации.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10. ПОВЕДЕНИЕ ПАССАЖИРОВ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10.1. Пользователь обязан соблюдать нормы общественного порядка и не создавать угрозу безопасности Перевозчика, пассажиров и третьих лиц.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10.2. Запрещается оскорблять или угрожать Перевозчику, повреждать автомобиль, перевозить запрещённые или опасные предметы, а также совершать противоправные действия.</w:t>
      </w:r>
    </w:p>
    <w:p>
      <w:pPr>
        <w:spacing w:after="100"/>
      </w:pPr>
      <w:r>
        <w:t>10.3. Пользователь обязан соблюдать законные требования Перевозчика, связанные с обеспечением безопасности перевозки, и не совершать действий, препятствующих безопасному управлению транспортным средством.</w:t>
      </w:r>
    </w:p>
    <w:p>
      <w:pPr/>
      <w:r>
        <w:t>10.4. Перевозчик вправе отказаться от поездки до её начала или прекратить её в случаях, когда действия Пользователя создают угрозу безопасности либо нарушают требования законодательства Российской Федерации.</w:t>
      </w:r>
    </w:p>
    <w:p>
      <w:r>
        <w:rPr>
          <w:b/>
        </w:rPr>
        <w:t>11. ЗАБЫТЫЕ ВЕЩИ И УЩЕРБ АВТОМОБИЛИЮ</w:t>
      </w:r>
    </w:p>
    <w:p>
      <w:r>
        <w:t>11.1. Пользователь самостоятельно несёт ответственность за сохранность принадлежащих ему вещей и обязан проверить автомобиль перед завершением поездки.</w:t>
      </w:r>
    </w:p>
    <w:p>
      <w:r>
        <w:t>11.2. При обнаружении забытой вещи Пользователь может обратиться в Сервис. Оператор может содействовать Пользователю в установлении контакта с Перевозчиком по вопросу поиска и возврата забытой вещи.</w:t>
      </w:r>
    </w:p>
    <w:p>
      <w:r>
        <w:t>11.3. Оператор не является хранителем забытых вещей и не несёт ответственности за их утрату, повреждение или невозможность их возврата, если иное не предусмотрено законодательством Российской Федерации.</w:t>
      </w:r>
    </w:p>
    <w:p>
      <w:r>
        <w:t>11.4. При причинении ущерба автомобилю по вине Пользователя Пользователь обязан возместить причинённый Перевозчику ущерб в соответствии с законодательством Российской Федерации.</w:t>
      </w:r>
    </w:p>
    <w:p>
      <w:r>
        <w:rPr>
          <w:b/>
        </w:rPr>
        <w:t>12. РЕФЕРАЛЬНАЯ ПРОГРАММА</w:t>
      </w:r>
    </w:p>
    <w:p>
      <w:r>
        <w:t>12.1. Пользователь может приглашать в Сервис только других пассажиров. Вознаграждение начисляется за поездки приглашённых пассажиров в соответствии с условиями настоящего раздела.</w:t>
      </w:r>
    </w:p>
    <w:p>
      <w:r>
        <w:rPr>
          <w:b w:val="0"/>
        </w:rPr>
        <w:t>12.2. Размер реферального вознаграждения определяется действующими условиями реферальной программы и отображается Пользователю в Сервисе. Вознаграждение может рассчитываться по уровням реферальной программы в зависимости от действующих условий.</w:t>
      </w:r>
    </w:p>
    <w:p>
      <w:r>
        <w:rPr>
          <w:b w:val="0"/>
        </w:rPr>
        <w:t>12.3. Вознаграждение начисляется после завершения поездки приглашённого пассажира и подтверждения её оплаты. Размер начисления определяется исходя из действующих на момент начисления условий реферальной программы.</w:t>
      </w:r>
    </w:p>
    <w:p>
      <w:r>
        <w:t>12.4. Реферальный баланс Пользователя может использоваться для полной или частичной оплаты поездок в Сервисе. Денежный вывод реферального баланса Пользователю не производится.</w:t>
      </w:r>
    </w:p>
    <w:p>
      <w:r>
        <w:t>12.5. При полном или частичном возврате оплаты по поездке соответствующее реферальное начисление корректируется или аннулируется пропорционально возвращённой сумме.</w:t>
      </w:r>
    </w:p>
    <w:p>
      <w:r>
        <w:t>12.6. Запрещаются самореферал, создание фиктивных аккаунтов, накрутка поездок, использование ботов и иные действия, направленные на получение необоснованного реферального вознаграждения.</w:t>
      </w:r>
    </w:p>
    <w:p>
      <w:pPr>
        <w:spacing w:before="180" w:after="100"/>
      </w:pPr>
      <w:r>
        <w:rPr>
          <w:b/>
        </w:rPr>
        <w:t>13. ИСПОЛЬЗОВАНИЕ СЕРВИСА И БЛОКИРОВКА</w:t>
      </w:r>
    </w:p>
    <w:p>
      <w:pPr>
        <w:spacing w:before="180" w:after="100"/>
      </w:pPr>
      <w:r>
        <w:rPr/>
        <w:t>13.1. Сервис предназначен исключительно для заказа поездок.</w:t>
      </w:r>
    </w:p>
    <w:p>
      <w:pPr>
        <w:spacing w:before="180" w:after="100"/>
      </w:pPr>
      <w:r>
        <w:t>13.2. Пользователю запрещается: использовать Сервис для создания ложных или фиктивных заказов; использовать автоматизированные программы, скрипты или ботов для работы с Сервисом; предпринимать действия, направленные на нарушение работы приложения или информационных систем Сервиса; использовать Сервис для противоправной деятельности; создавать несколько учётных записей или использовать чужую учётную запись в целях обхода ограничений Сервиса; совершать действия, направленные на неправомерное получение бонусов, скидок или иных преимуществ.</w:t>
      </w:r>
    </w:p>
    <w:p>
      <w:pPr>
        <w:spacing w:before="180" w:after="100"/>
      </w:pPr>
      <w:r>
        <w:t>13.3. В случае нарушения указанных требований Оператор вправе ограничить доступ Пользователя к Сервису, временно или постоянно заблокировать учётную запись, отменить фиктивные или нарушающие правила заказы и аннулировать неправомерно начисленные бонусы.</w:t>
      </w:r>
    </w:p>
    <w:p>
      <w:pPr>
        <w:spacing w:before="180" w:after="100"/>
      </w:pPr>
      <w:r>
        <w:rPr>
          <w:b/>
        </w:rPr>
        <w:t>14. ПЕРСОНАЛЬНЫЕ ДАННЫЕ</w:t>
      </w:r>
    </w:p>
    <w:p>
      <w:pPr>
        <w:spacing w:after="100"/>
      </w:pPr>
      <w:r>
        <w:t>14.1. Обработка персональных данных осуществляется в соответствии с отдельной Политикой конфиденциальности и предоставленным Пользователем согласием на обработку персональных данных.</w:t>
      </w:r>
    </w:p>
    <w:p>
      <w:pPr>
        <w:spacing w:after="100"/>
      </w:pPr>
      <w:r>
        <w:t>14.2. Сроки хранения данных определяются целями обработки и требованиями законодательства Российской Федерации.</w:t>
      </w:r>
    </w:p>
    <w:p>
      <w:r>
        <w:t>14.3. Пользователь обязан предоставлять достоверные и актуальные персональные данные и своевременно сообщать об их изменении, если такие данные необходимы для использования Сервиса.</w:t>
      </w:r>
    </w:p>
    <w:p>
      <w:r>
        <w:t>14.4. Оператор принимает предусмотренные законодательством Российской Федерации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>
      <w:r>
        <w:t>14.5. Порядок осуществления прав Пользователя в отношении его персональных данных, а также сведения о целях, составе и порядке обработки персональных данных определяются Политикой конфиденциальности и иными документами, размещёнными в Сервисе.</w:t>
      </w:r>
    </w:p>
    <w:p>
      <w:pPr>
        <w:spacing w:before="180" w:after="100"/>
      </w:pPr>
      <w:r>
        <w:rPr>
          <w:b/>
        </w:rPr>
        <w:t>15. ИЗМЕНЕНИЕ УСЛОВИЙ</w:t>
      </w:r>
    </w:p>
    <w:p>
      <w:pPr>
        <w:spacing w:after="100"/>
      </w:pPr>
      <w:r>
        <w:t>15.1. Оператор вправе изменять настоящую Оферту в соответствии с законодательством Российской Федерации. Новая редакция размещается в Сервисе с указанием даты её утверждения и даты вступления в силу.</w:t>
        <w:br/>
        <w:t>15.2. Об изменениях, которые существенно затрагивают права и обязанности Пользователя, Оператор уведомляет Пользователя доступным способом, в том числе посредством уведомления в приложении, Личном кабинете или по электронной почте.</w:t>
        <w:br/>
        <w:t>15.3. Если для применения новой редакции требуется отдельное принятие Пользователем, новая редакция предоставляется Пользователю для ознакомления до продолжения использования соответствующего функционала Сервиса.</w:t>
        <w:br/>
        <w:t>15.4. Если иное не предусмотрено законодательством Российской Федерации, изменения применяются к отношениям, возникающим после даты вступления соответствующей редакции в силу.</w:t>
      </w:r>
    </w:p>
    <w:p>
      <w:pPr>
        <w:spacing w:before="180" w:after="100"/>
      </w:pPr>
      <w:r>
        <w:rPr>
          <w:b/>
        </w:rPr>
        <w:t>16. КОНТАКТЫ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ИП Мартынов Андрей Сергеевич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Email: support@aptaxi.info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Arial" w:cs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Arial" w:cs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365F91" w:themeColor="accent1" w:themeShade="B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Arial" w:cs="Arial"/>
      <w:b/>
      <w:bCs/>
      <w:i/>
      <w:iCs/>
      <w:color w:val="4F81BD" w:themeColor="accent1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Arial" w:cs="Arial"/>
      <w:color w:val="243F60" w:themeColor="accent1" w:themeShade="7F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Arial" w:cs="Arial"/>
      <w:i/>
      <w:iCs/>
      <w:color w:val="243F60" w:themeColor="accent1" w:themeShade="7F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Arial" w:cs="Arial"/>
      <w:color w:val="4F81BD" w:themeColor="accent1"/>
      <w:sz w:val="2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1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Arial" w:cs="Arial"/>
      <w:sz w:val="21"/>
    </w:rPr>
  </w:style>
  <w:style w:type="table" w:default="1" w:styleId="TableNormal">
    <w:name w:val="Normal Table"/>
    <w:uiPriority w:val="99"/>
    <w:semiHidden/>
    <w:unhideWhenUsed/>
    <w:rPr>
      <w:rFonts w:ascii="Arial" w:hAnsi="Arial" w:eastAsia="Arial" w:cs="Arial"/>
      <w:sz w:val="2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365F91" w:themeColor="accent1" w:themeShade="BF"/>
      <w:sz w:val="21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color w:val="17365D" w:themeColor="text2" w:themeShade="B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 w:eastAsia="Arial" w:cs="Arial"/>
      <w:color w:val="17365D" w:themeColor="text2" w:themeShade="BF"/>
      <w:spacing w:val="5"/>
      <w:kern w:val="28"/>
      <w:sz w:val="21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1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  <w:sz w:val="21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Arial" w:cs="Arial"/>
      <w:sz w:val="21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  <w:sz w:val="21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Arial" w:cs="Arial"/>
      <w:sz w:val="21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21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21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  <w:sz w:val="21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  <w:sz w:val="21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  <w:sz w:val="21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  <w:sz w:val="21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  <w:sz w:val="21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  <w:sz w:val="21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  <w:sz w:val="21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  <w:sz w:val="21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  <w:sz w:val="21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1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1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 w:themeColor="text1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Arial" w:cs="Arial"/>
      <w:i/>
      <w:iCs/>
      <w:color w:val="000000" w:themeColor="text1"/>
      <w:sz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b/>
      <w:bCs/>
      <w:i/>
      <w:iCs/>
      <w:color w:val="4F81BD" w:themeColor="accent1"/>
      <w:sz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color w:val="243F60" w:themeColor="accent1" w:themeShade="7F"/>
      <w:sz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243F60" w:themeColor="accent1" w:themeShade="7F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color w:val="4F81BD" w:themeColor="accent1"/>
      <w:sz w:val="21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1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4F81BD" w:themeColor="accent1"/>
      <w:sz w:val="2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Arial" w:cs="Arial"/>
      <w:b/>
      <w:bCs/>
      <w:sz w:val="21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Arial" w:cs="Arial"/>
      <w:i/>
      <w:iCs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Arial" w:cs="Arial"/>
      <w:b/>
      <w:bCs/>
      <w:i/>
      <w:iCs/>
      <w:color w:val="4F81BD" w:themeColor="accent1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Arial" w:cs="Arial"/>
      <w:b/>
      <w:bCs/>
      <w:i/>
      <w:iCs/>
      <w:color w:val="4F81BD" w:themeColor="accent1"/>
      <w:sz w:val="2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Arial" w:cs="Arial"/>
      <w:i/>
      <w:iCs/>
      <w:color w:val="808080" w:themeColor="text1" w:themeTint="7F"/>
      <w:sz w:val="21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Arial" w:cs="Arial"/>
      <w:b/>
      <w:bCs/>
      <w:i/>
      <w:iCs/>
      <w:color w:val="4F81BD" w:themeColor="accent1"/>
      <w:sz w:val="2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Arial" w:cs="Arial"/>
      <w:smallCaps/>
      <w:color w:val="C0504D" w:themeColor="accent2"/>
      <w:sz w:val="21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Arial" w:cs="Arial"/>
      <w:b/>
      <w:bCs/>
      <w:smallCaps/>
      <w:color w:val="C0504D" w:themeColor="accent2"/>
      <w:spacing w:val="5"/>
      <w:sz w:val="21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Arial" w:cs="Arial"/>
      <w:b/>
      <w:bCs/>
      <w:smallCaps/>
      <w:spacing w:val="5"/>
      <w:sz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  <w:sz w:val="21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 w:eastAsia="Arial" w:cs="Arial"/>
      <w:sz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000000" w:themeColor="text1" w:themeShade="BF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65F91" w:themeColor="accent1" w:themeShade="BF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943634" w:themeColor="accent2" w:themeShade="BF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76923C" w:themeColor="accent3" w:themeShade="BF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5F497A" w:themeColor="accent4" w:themeShade="BF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1849B" w:themeColor="accent5" w:themeShade="BF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E36C0A" w:themeColor="accent6" w:themeShade="BF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